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72" w:rsidRPr="003832CC" w:rsidRDefault="00E54872" w:rsidP="00E5487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E54872" w:rsidRPr="003832CC" w:rsidRDefault="00E54872" w:rsidP="00E5487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E7E71" w:rsidRDefault="00E54872" w:rsidP="007E7E7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Головний спеціаліст </w:t>
      </w:r>
      <w:r w:rsidR="007E7E71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відділу інформаційних технологій</w:t>
      </w:r>
    </w:p>
    <w:p w:rsidR="007E7E71" w:rsidRPr="00C1722E" w:rsidRDefault="007E7E71" w:rsidP="007E7E7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E54872" w:rsidRPr="003832CC" w:rsidRDefault="00E54872" w:rsidP="00E5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872" w:rsidRPr="00052F6D" w:rsidRDefault="00E54872" w:rsidP="00E5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E54872" w:rsidRPr="00052F6D" w:rsidTr="00284C9F">
        <w:tc>
          <w:tcPr>
            <w:tcW w:w="9292" w:type="dxa"/>
            <w:gridSpan w:val="3"/>
            <w:vAlign w:val="center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E54872" w:rsidRPr="00052F6D" w:rsidTr="00284C9F">
        <w:trPr>
          <w:trHeight w:val="1197"/>
        </w:trPr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3612" w:rsidRPr="00B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адміністрування та технічного супроводження Інформаційно-аналітичної системи «Облік та статистика органів прокуратури» (далі-ІАС «ОСОП») та інформаційної системи «Система електронного документообігу органів прокуратури України» (далі – ІС «СЕД»), в межах повноважень відділу, а також інших апаратно-програмних комплексів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3612" w:rsidRDefault="00E54872" w:rsidP="00333EFA">
            <w:pPr>
              <w:pStyle w:val="a5"/>
              <w:spacing w:line="240" w:lineRule="auto"/>
              <w:jc w:val="both"/>
              <w:textAlignment w:val="auto"/>
              <w:rPr>
                <w:lang w:val="uk-UA" w:bidi="uk-UA"/>
              </w:rPr>
            </w:pPr>
            <w:r w:rsidRPr="000906E1">
              <w:rPr>
                <w:lang w:val="uk-UA" w:eastAsia="ru-RU"/>
              </w:rPr>
              <w:t>-</w:t>
            </w:r>
            <w:r w:rsidR="000906E1" w:rsidRPr="000906E1">
              <w:rPr>
                <w:lang w:val="uk-UA"/>
              </w:rPr>
              <w:t xml:space="preserve"> </w:t>
            </w:r>
            <w:r w:rsidR="000906E1" w:rsidRPr="00B167EC">
              <w:rPr>
                <w:color w:val="auto"/>
                <w:lang w:val="uk-UA"/>
              </w:rPr>
              <w:t xml:space="preserve">Виконання функцій та завдань оператора відокремленого пункту реєстрації Кваліфікованого надавача електронних довірчих послуг органів прокуратури України, здійснення ідентифікації </w:t>
            </w:r>
            <w:proofErr w:type="spellStart"/>
            <w:r w:rsidR="000906E1" w:rsidRPr="00B167EC">
              <w:rPr>
                <w:color w:val="auto"/>
                <w:lang w:val="uk-UA"/>
              </w:rPr>
              <w:t>підписувачів</w:t>
            </w:r>
            <w:proofErr w:type="spellEnd"/>
            <w:r w:rsidR="000906E1" w:rsidRPr="00B167EC">
              <w:rPr>
                <w:color w:val="auto"/>
                <w:lang w:val="uk-UA"/>
              </w:rPr>
              <w:t xml:space="preserve">, надання їм послуг кваліфікованого </w:t>
            </w:r>
            <w:r w:rsidR="000906E1">
              <w:rPr>
                <w:color w:val="auto"/>
                <w:lang w:val="uk-UA"/>
              </w:rPr>
              <w:t xml:space="preserve">електронного підпису та печатки, </w:t>
            </w:r>
            <w:r w:rsidR="000906E1" w:rsidRPr="00B167EC">
              <w:rPr>
                <w:color w:val="auto"/>
                <w:lang w:val="uk-UA"/>
              </w:rPr>
              <w:t>адміністрування прав доступу користувачів, редагування довідників організаційної структури Єдиного реєстру досудових розслідувань (далі- ЄРДР) та оперативне ведення кадро</w:t>
            </w:r>
            <w:r w:rsidR="00BC593C">
              <w:rPr>
                <w:color w:val="auto"/>
                <w:lang w:val="uk-UA"/>
              </w:rPr>
              <w:t>вих переміщень в ЄРДР;</w:t>
            </w:r>
            <w:r w:rsidR="000906E1" w:rsidRPr="00B167EC">
              <w:rPr>
                <w:color w:val="auto"/>
                <w:lang w:val="uk-UA"/>
              </w:rPr>
              <w:t xml:space="preserve"> </w:t>
            </w:r>
            <w:r w:rsidR="00BC593C">
              <w:rPr>
                <w:color w:val="auto"/>
                <w:lang w:val="uk-UA"/>
              </w:rPr>
              <w:t>в</w:t>
            </w:r>
            <w:r w:rsidR="000906E1" w:rsidRPr="00B167EC">
              <w:rPr>
                <w:color w:val="auto"/>
                <w:lang w:val="uk-UA"/>
              </w:rPr>
              <w:t>заємодія з кадровими підрозділами та адміністратор</w:t>
            </w:r>
            <w:r w:rsidR="00BC593C">
              <w:rPr>
                <w:color w:val="auto"/>
                <w:lang w:val="uk-UA"/>
              </w:rPr>
              <w:t xml:space="preserve">ами інших відомств з цих </w:t>
            </w:r>
            <w:proofErr w:type="spellStart"/>
            <w:r w:rsidR="00BC593C">
              <w:rPr>
                <w:color w:val="auto"/>
                <w:lang w:val="uk-UA"/>
              </w:rPr>
              <w:t>питань;</w:t>
            </w:r>
            <w:r w:rsidR="000906E1" w:rsidRPr="00B167EC">
              <w:rPr>
                <w:color w:val="auto"/>
                <w:lang w:val="uk-UA"/>
              </w:rPr>
              <w:t>здійснення</w:t>
            </w:r>
            <w:proofErr w:type="spellEnd"/>
            <w:r w:rsidR="000906E1" w:rsidRPr="00B167EC">
              <w:rPr>
                <w:color w:val="auto"/>
                <w:lang w:val="uk-UA"/>
              </w:rPr>
              <w:t xml:space="preserve"> видачі, заміни та блокування кваліфікованого електронного підпису та доступу до ЄРДР користувачам </w:t>
            </w:r>
            <w:r w:rsidR="00BC593C">
              <w:rPr>
                <w:color w:val="auto"/>
                <w:lang w:val="uk-UA"/>
              </w:rPr>
              <w:t>прокуратури</w:t>
            </w:r>
            <w:r w:rsidR="000906E1" w:rsidRPr="00B167EC">
              <w:rPr>
                <w:color w:val="auto"/>
                <w:lang w:val="uk-UA"/>
              </w:rPr>
              <w:t xml:space="preserve"> та з усіх</w:t>
            </w:r>
            <w:r w:rsidR="00856BEA">
              <w:rPr>
                <w:color w:val="auto"/>
                <w:lang w:val="uk-UA"/>
              </w:rPr>
              <w:t xml:space="preserve"> правоохоронних</w:t>
            </w:r>
            <w:r w:rsidR="000906E1" w:rsidRPr="00B167EC">
              <w:rPr>
                <w:color w:val="auto"/>
                <w:lang w:val="uk-UA"/>
              </w:rPr>
              <w:t xml:space="preserve"> відомств в межах Львівської області;</w:t>
            </w:r>
            <w:r w:rsidR="00333EFA">
              <w:rPr>
                <w:color w:val="auto"/>
                <w:lang w:val="uk-UA"/>
              </w:rPr>
              <w:t xml:space="preserve"> </w:t>
            </w:r>
            <w:r w:rsidR="000906E1" w:rsidRPr="00B167EC">
              <w:rPr>
                <w:color w:val="auto"/>
                <w:lang w:val="uk-UA"/>
              </w:rPr>
              <w:t>забезпечення технічної (віддаленої) підтримки користувачів ЄРДР з застосуванням кваліфікованого електронного підпису;</w:t>
            </w:r>
            <w:r w:rsidR="00333EFA">
              <w:rPr>
                <w:color w:val="auto"/>
                <w:lang w:val="uk-UA"/>
              </w:rPr>
              <w:t xml:space="preserve"> </w:t>
            </w:r>
            <w:r w:rsidR="000906E1" w:rsidRPr="00B167EC">
              <w:rPr>
                <w:color w:val="auto"/>
                <w:lang w:val="uk-UA"/>
              </w:rPr>
              <w:t>забезпечення технічної (віддаленої) підтримки користувачів</w:t>
            </w:r>
            <w:r w:rsidR="000906E1" w:rsidRPr="00B167EC">
              <w:rPr>
                <w:bCs/>
                <w:color w:val="auto"/>
                <w:lang w:val="uk-UA"/>
              </w:rPr>
              <w:t xml:space="preserve"> ІС «СЕД»</w:t>
            </w:r>
            <w:r w:rsidR="000906E1" w:rsidRPr="00B167EC">
              <w:rPr>
                <w:color w:val="auto"/>
                <w:lang w:val="uk-UA"/>
              </w:rPr>
              <w:t>, Веб «Кадри» з застосуванням кваліфікованого електронного підпису;</w:t>
            </w:r>
            <w:r w:rsidR="00333EFA">
              <w:rPr>
                <w:color w:val="auto"/>
                <w:lang w:val="uk-UA"/>
              </w:rPr>
              <w:t xml:space="preserve"> </w:t>
            </w:r>
            <w:r w:rsidR="000906E1" w:rsidRPr="00B167EC">
              <w:rPr>
                <w:color w:val="auto"/>
                <w:lang w:val="uk-UA"/>
              </w:rPr>
              <w:t>аналіз пропозицій та зауважень від користувачів ЄРДР та взаємодія з Офісом Генерального прокурора з цих питань;</w:t>
            </w:r>
            <w:r w:rsidR="00333EFA">
              <w:rPr>
                <w:color w:val="auto"/>
                <w:lang w:val="uk-UA"/>
              </w:rPr>
              <w:t xml:space="preserve"> </w:t>
            </w:r>
            <w:r w:rsidR="000906E1" w:rsidRPr="00B167EC">
              <w:rPr>
                <w:lang w:val="uk-UA"/>
              </w:rPr>
              <w:t>виконання інших робіт, пов’язаних із адмініст</w:t>
            </w:r>
            <w:r w:rsidR="00333EFA">
              <w:rPr>
                <w:lang w:val="uk-UA"/>
              </w:rPr>
              <w:t xml:space="preserve">руванням та супроводженням ЄРДР; </w:t>
            </w:r>
            <w:r w:rsidR="000906E1" w:rsidRPr="00B167EC">
              <w:rPr>
                <w:lang w:val="uk-UA" w:bidi="uk-UA"/>
              </w:rPr>
              <w:t>надання практичної допомоги користувачам Єдиних та державних реєстр</w:t>
            </w:r>
            <w:r w:rsidR="00D1194B">
              <w:rPr>
                <w:lang w:val="uk-UA" w:bidi="uk-UA"/>
              </w:rPr>
              <w:t>ів Міністерства юстиції України.</w:t>
            </w:r>
          </w:p>
          <w:p w:rsidR="00D1194B" w:rsidRDefault="00D1194B" w:rsidP="00333EFA">
            <w:pPr>
              <w:pStyle w:val="a5"/>
              <w:spacing w:line="240" w:lineRule="auto"/>
              <w:jc w:val="both"/>
              <w:textAlignment w:val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- </w:t>
            </w:r>
            <w:r w:rsidRPr="00D1194B">
              <w:rPr>
                <w:lang w:val="uk-UA" w:eastAsia="ru-RU"/>
              </w:rPr>
              <w:t>Адміністрування локальної обчислювальної мережі Львівської обласної прокуратури</w:t>
            </w:r>
            <w:r>
              <w:rPr>
                <w:lang w:val="uk-UA" w:eastAsia="ru-RU"/>
              </w:rPr>
              <w:t>.</w:t>
            </w:r>
          </w:p>
          <w:p w:rsidR="00D1194B" w:rsidRDefault="003D1ED5" w:rsidP="00333EFA">
            <w:pPr>
              <w:pStyle w:val="a5"/>
              <w:spacing w:line="240" w:lineRule="auto"/>
              <w:jc w:val="both"/>
              <w:textAlignment w:val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1194B" w:rsidRPr="00B167EC">
              <w:rPr>
                <w:lang w:val="uk-UA"/>
              </w:rPr>
              <w:t>Встановлення, налаштування та оновлення програмного забезпечення  комп’ютерної техніки апарату обласної прокуратури та окружних прокуратур.</w:t>
            </w:r>
          </w:p>
          <w:p w:rsidR="00D1194B" w:rsidRDefault="002F7922" w:rsidP="00333EFA">
            <w:pPr>
              <w:pStyle w:val="a5"/>
              <w:spacing w:line="240" w:lineRule="auto"/>
              <w:jc w:val="both"/>
              <w:textAlignment w:val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1194B" w:rsidRPr="00B167EC">
              <w:rPr>
                <w:lang w:val="uk-UA"/>
              </w:rPr>
              <w:t xml:space="preserve">Ведення картотеки справ </w:t>
            </w:r>
            <w:proofErr w:type="spellStart"/>
            <w:r w:rsidR="00D1194B" w:rsidRPr="00B167EC">
              <w:rPr>
                <w:lang w:val="uk-UA"/>
              </w:rPr>
              <w:t>підписувачів</w:t>
            </w:r>
            <w:proofErr w:type="spellEnd"/>
            <w:r w:rsidR="00D1194B" w:rsidRPr="00B167EC">
              <w:rPr>
                <w:lang w:val="uk-UA"/>
              </w:rPr>
              <w:t>, які отримали електронні довірчі послуги для доступу до інформаційно-комунікаційних систем.</w:t>
            </w:r>
          </w:p>
          <w:p w:rsidR="00D1194B" w:rsidRDefault="002F7922" w:rsidP="00333EFA">
            <w:pPr>
              <w:pStyle w:val="a5"/>
              <w:spacing w:line="240" w:lineRule="auto"/>
              <w:jc w:val="both"/>
              <w:textAlignment w:val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167EC">
              <w:rPr>
                <w:lang w:val="uk-UA"/>
              </w:rPr>
              <w:t>Робота із матеріальними носіями секретної інформації та документами з грифом обмеження доступу «Для службового користування».</w:t>
            </w:r>
          </w:p>
          <w:p w:rsidR="002F7922" w:rsidRDefault="002F7922" w:rsidP="00333EFA">
            <w:pPr>
              <w:pStyle w:val="a5"/>
              <w:spacing w:line="240" w:lineRule="auto"/>
              <w:jc w:val="both"/>
              <w:textAlignment w:val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B167EC">
              <w:rPr>
                <w:lang w:val="uk-UA"/>
              </w:rPr>
              <w:t xml:space="preserve">Забезпечення антивірусного захисту та </w:t>
            </w:r>
            <w:proofErr w:type="spellStart"/>
            <w:r w:rsidRPr="00B167EC">
              <w:rPr>
                <w:lang w:val="uk-UA"/>
              </w:rPr>
              <w:t>кібербезпеки</w:t>
            </w:r>
            <w:proofErr w:type="spellEnd"/>
            <w:r w:rsidRPr="00B167EC">
              <w:rPr>
                <w:lang w:val="uk-UA"/>
              </w:rPr>
              <w:t xml:space="preserve"> робочих станцій та локальної мережі, технічної підтримки та супроводження апаратно-програмних комплексів з обмеженим доступом</w:t>
            </w:r>
            <w:r>
              <w:rPr>
                <w:lang w:val="uk-UA"/>
              </w:rPr>
              <w:t xml:space="preserve"> </w:t>
            </w:r>
            <w:r w:rsidRPr="00B96AEF">
              <w:rPr>
                <w:lang w:val="uk-UA"/>
              </w:rPr>
              <w:t>в режимно секретних органах</w:t>
            </w:r>
            <w:r w:rsidRPr="00B167EC">
              <w:rPr>
                <w:lang w:val="uk-UA"/>
              </w:rPr>
              <w:t>.</w:t>
            </w:r>
          </w:p>
          <w:p w:rsidR="002F7922" w:rsidRDefault="002F7922" w:rsidP="00333EFA">
            <w:pPr>
              <w:pStyle w:val="a5"/>
              <w:spacing w:line="240" w:lineRule="auto"/>
              <w:jc w:val="both"/>
              <w:textAlignment w:val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167EC">
              <w:rPr>
                <w:lang w:val="uk-UA"/>
              </w:rPr>
              <w:t>Забезпечення функціонування прикладного програмного забезпечення, пов’язаного з роботою користувачів у мережі «Інтернет».</w:t>
            </w:r>
          </w:p>
          <w:p w:rsidR="00E54872" w:rsidRPr="00E416CF" w:rsidRDefault="002F7922" w:rsidP="001C0B0D">
            <w:pPr>
              <w:pStyle w:val="a5"/>
              <w:spacing w:line="240" w:lineRule="auto"/>
              <w:jc w:val="both"/>
              <w:textAlignment w:val="auto"/>
              <w:rPr>
                <w:lang w:val="ru-RU" w:eastAsia="ru-RU"/>
              </w:rPr>
            </w:pPr>
            <w:r>
              <w:rPr>
                <w:lang w:val="uk-UA" w:bidi="uk-UA"/>
              </w:rPr>
              <w:t xml:space="preserve">- </w:t>
            </w:r>
            <w:r w:rsidRPr="00B167EC">
              <w:rPr>
                <w:lang w:val="uk-UA" w:bidi="uk-UA"/>
              </w:rPr>
              <w:t>Виконання інших службових доручень за вказівкою начальника відділу та керівництва обласної прокуратури.</w:t>
            </w:r>
          </w:p>
        </w:tc>
      </w:tr>
      <w:tr w:rsidR="00E54872" w:rsidRPr="00052F6D" w:rsidTr="00284C9F">
        <w:trPr>
          <w:trHeight w:val="1197"/>
        </w:trPr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енсації відповідно до статей 50,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Прикінцевих положень Закону України </w:t>
            </w:r>
            <w:r w:rsidR="00DE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Державний бюджет України на 2024 рік»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872" w:rsidRPr="00052F6D" w:rsidTr="00284C9F"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ово, 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54872" w:rsidRPr="00052F6D" w:rsidTr="00284C9F"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E54872" w:rsidRPr="003F2E61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5A1235">
              <w:t>);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1" w:name="n25"/>
            <w:bookmarkEnd w:id="1"/>
            <w:r w:rsidRPr="005A1235">
              <w:t>громадянина України;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7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</w:t>
            </w:r>
            <w:r>
              <w:rPr>
                <w:shd w:val="clear" w:color="auto" w:fill="FFFFFF"/>
              </w:rPr>
              <w:t xml:space="preserve"> самоврядування, за минулий рік;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</w:t>
            </w:r>
            <w:r>
              <w:rPr>
                <w:shd w:val="clear" w:color="auto" w:fill="FFFFFF"/>
              </w:rPr>
              <w:t xml:space="preserve">ь володіння державною мовою </w:t>
            </w:r>
            <w:r w:rsidRPr="005A1235">
              <w:rPr>
                <w:shd w:val="clear" w:color="auto" w:fill="FFFFFF"/>
              </w:rPr>
              <w:t>(за наявності).</w:t>
            </w:r>
          </w:p>
          <w:p w:rsidR="00E54872" w:rsidRPr="005A1235" w:rsidRDefault="00E54872" w:rsidP="00284C9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E54872" w:rsidRDefault="00E54872" w:rsidP="00E5487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b/>
                <w:bCs/>
              </w:rPr>
            </w:pPr>
            <w:r w:rsidRPr="00C86E51">
              <w:rPr>
                <w:b/>
                <w:color w:val="000000" w:themeColor="text1"/>
              </w:rPr>
              <w:lastRenderedPageBreak/>
              <w:t xml:space="preserve">Документи приймаються </w:t>
            </w:r>
            <w:r w:rsidRPr="00C86E51">
              <w:rPr>
                <w:b/>
                <w:bCs/>
                <w:color w:val="000000" w:themeColor="text1"/>
              </w:rPr>
              <w:t xml:space="preserve">до </w:t>
            </w:r>
            <w:bookmarkStart w:id="4" w:name="_GoBack"/>
            <w:bookmarkEnd w:id="4"/>
            <w:r w:rsidR="00F03730">
              <w:rPr>
                <w:b/>
                <w:bCs/>
                <w:color w:val="000000" w:themeColor="text1"/>
              </w:rPr>
              <w:t>07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C10DB7">
              <w:rPr>
                <w:b/>
                <w:bCs/>
                <w:color w:val="000000" w:themeColor="text1"/>
              </w:rPr>
              <w:t>квітня</w:t>
            </w:r>
            <w:r w:rsidRPr="00C86E51">
              <w:rPr>
                <w:b/>
                <w:bCs/>
                <w:color w:val="000000" w:themeColor="text1"/>
              </w:rPr>
              <w:t xml:space="preserve"> 202</w:t>
            </w:r>
            <w:r>
              <w:rPr>
                <w:b/>
                <w:bCs/>
                <w:color w:val="000000" w:themeColor="text1"/>
              </w:rPr>
              <w:t>4</w:t>
            </w:r>
            <w:r w:rsidRPr="00C86E51">
              <w:rPr>
                <w:b/>
                <w:bCs/>
                <w:color w:val="000000" w:themeColor="text1"/>
              </w:rPr>
              <w:t xml:space="preserve"> року</w:t>
            </w:r>
            <w:r w:rsidRPr="00C86E51">
              <w:rPr>
                <w:b/>
                <w:color w:val="000000" w:themeColor="text1"/>
              </w:rPr>
              <w:t xml:space="preserve"> на</w:t>
            </w:r>
            <w:r w:rsidRPr="00C86E51">
              <w:rPr>
                <w:color w:val="000000" w:themeColor="text1"/>
              </w:rPr>
              <w:t xml:space="preserve"> </w:t>
            </w:r>
            <w:r w:rsidRPr="005A1235">
              <w:rPr>
                <w:b/>
                <w:bCs/>
              </w:rPr>
              <w:t>електронну адресу</w:t>
            </w:r>
            <w:r w:rsidRPr="00C92C18">
              <w:rPr>
                <w:b/>
                <w:bCs/>
              </w:rPr>
              <w:t>:</w:t>
            </w:r>
            <w:r w:rsidRPr="00C92C18">
              <w:rPr>
                <w:b/>
              </w:rPr>
              <w:t xml:space="preserve"> olviya.gerlyak@oblprok.lviv.ua</w:t>
            </w:r>
            <w:r w:rsidRPr="00C92C18"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адресою: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E54872" w:rsidRPr="005A1235" w:rsidRDefault="00E54872" w:rsidP="00284C9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E54872" w:rsidRPr="00052F6D" w:rsidTr="00284C9F">
        <w:tc>
          <w:tcPr>
            <w:tcW w:w="3330" w:type="dxa"/>
            <w:gridSpan w:val="2"/>
          </w:tcPr>
          <w:p w:rsidR="00E54872" w:rsidRPr="00FD4558" w:rsidRDefault="00E54872" w:rsidP="00284C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E54872" w:rsidRPr="00C92C18" w:rsidRDefault="00E54872" w:rsidP="00E54872">
            <w:pPr>
              <w:pStyle w:val="a4"/>
              <w:spacing w:before="0" w:beforeAutospacing="0" w:after="0" w:afterAutospacing="0"/>
              <w:ind w:left="237"/>
              <w:rPr>
                <w:b/>
                <w:lang w:val="uk-UA"/>
              </w:rPr>
            </w:pPr>
            <w:r w:rsidRPr="00C92C18">
              <w:rPr>
                <w:b/>
                <w:lang w:val="uk-UA"/>
              </w:rPr>
              <w:t>Бойко Ольга Володимирівна</w:t>
            </w:r>
          </w:p>
          <w:p w:rsidR="00E54872" w:rsidRPr="00C92C18" w:rsidRDefault="00E54872" w:rsidP="00E54872">
            <w:pPr>
              <w:spacing w:before="150" w:after="150" w:line="240" w:lineRule="auto"/>
              <w:ind w:left="23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(032) 235-83-55 </w:t>
            </w:r>
          </w:p>
          <w:p w:rsidR="00E54872" w:rsidRPr="00C92C18" w:rsidRDefault="00E54872" w:rsidP="00E54872">
            <w:pPr>
              <w:spacing w:before="150" w:after="150" w:line="240" w:lineRule="auto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olviya.gerlyak@oblprok.lviv.ua</w:t>
            </w:r>
          </w:p>
        </w:tc>
      </w:tr>
      <w:tr w:rsidR="00E54872" w:rsidRPr="00052F6D" w:rsidTr="00284C9F">
        <w:tc>
          <w:tcPr>
            <w:tcW w:w="9292" w:type="dxa"/>
            <w:gridSpan w:val="3"/>
            <w:vAlign w:val="center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виділяти головне від другорядного;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інформацію та створювати інформаційних продукт;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ситуацію та робити висновки.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</w:t>
            </w:r>
            <w:r w:rsidR="00BD4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рівні адміністратора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офісне та спеціалізоване програмне забезпечення для ефективного виконання своїх посадових обов’язків;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54872" w:rsidRPr="00052F6D" w:rsidTr="00284C9F">
        <w:tc>
          <w:tcPr>
            <w:tcW w:w="9292" w:type="dxa"/>
            <w:gridSpan w:val="3"/>
          </w:tcPr>
          <w:p w:rsidR="00E54872" w:rsidRPr="00E0382F" w:rsidRDefault="00E54872" w:rsidP="0028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54872" w:rsidRPr="00E0382F" w:rsidRDefault="0078246E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46E">
              <w:rPr>
                <w:rFonts w:ascii="Times New Roman" w:hAnsi="Times New Roman" w:cs="Times New Roman"/>
                <w:sz w:val="24"/>
                <w:szCs w:val="24"/>
              </w:rPr>
              <w:t>ища освіта ступеня не нижче бакалавра або молодшого бакалавра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962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2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4872" w:rsidRPr="00052F6D" w:rsidTr="00284C9F">
        <w:tc>
          <w:tcPr>
            <w:tcW w:w="9292" w:type="dxa"/>
            <w:gridSpan w:val="3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54872" w:rsidRPr="00052F6D" w:rsidTr="00284C9F">
        <w:trPr>
          <w:trHeight w:val="222"/>
        </w:trPr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E54872" w:rsidRPr="00052F6D" w:rsidTr="00284C9F">
        <w:trPr>
          <w:trHeight w:val="1440"/>
        </w:trPr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E54872" w:rsidRPr="00052F6D" w:rsidTr="00284C9F">
        <w:trPr>
          <w:trHeight w:val="630"/>
        </w:trPr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23">
              <w:rPr>
                <w:rFonts w:ascii="Times New Roman" w:hAnsi="Times New Roman"/>
                <w:bCs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4872" w:rsidRPr="00052F6D" w:rsidRDefault="009A6BF7" w:rsidP="00C37EC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7B9">
              <w:rPr>
                <w:rFonts w:ascii="Times New Roman" w:hAnsi="Times New Roman"/>
                <w:sz w:val="24"/>
                <w:szCs w:val="24"/>
              </w:rPr>
              <w:t xml:space="preserve">Законів України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 прокуратуру»,  «Про звернення громадян», </w:t>
            </w:r>
            <w:r w:rsidR="00E54872" w:rsidRPr="00052F6D">
              <w:rPr>
                <w:rFonts w:ascii="Times New Roman" w:hAnsi="Times New Roman"/>
                <w:sz w:val="24"/>
                <w:szCs w:val="24"/>
              </w:rPr>
              <w:t xml:space="preserve">«Про доступ до публічної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інформації»,</w:t>
            </w:r>
            <w:r w:rsidR="003167B9" w:rsidRPr="0031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89">
              <w:rPr>
                <w:rFonts w:ascii="Times New Roman" w:hAnsi="Times New Roman"/>
                <w:sz w:val="24"/>
                <w:szCs w:val="24"/>
              </w:rPr>
              <w:t>«</w:t>
            </w:r>
            <w:r w:rsidR="00E84E89" w:rsidRPr="00E84E89">
              <w:rPr>
                <w:rFonts w:ascii="Times New Roman" w:hAnsi="Times New Roman"/>
                <w:sz w:val="24"/>
                <w:szCs w:val="24"/>
              </w:rPr>
              <w:t>Про електронну ідентифікацію та електронні довірчі послуги</w:t>
            </w:r>
            <w:r w:rsidR="00E84E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7B9" w:rsidRPr="003167B9">
              <w:rPr>
                <w:rFonts w:ascii="Times New Roman" w:hAnsi="Times New Roman"/>
                <w:sz w:val="24"/>
                <w:szCs w:val="24"/>
              </w:rPr>
              <w:t xml:space="preserve">«Про державну таємницю», «Про основні засади забезпечення </w:t>
            </w:r>
            <w:proofErr w:type="spellStart"/>
            <w:r w:rsidR="003167B9" w:rsidRPr="003167B9">
              <w:rPr>
                <w:rFonts w:ascii="Times New Roman" w:hAnsi="Times New Roman"/>
                <w:sz w:val="24"/>
                <w:szCs w:val="24"/>
              </w:rPr>
              <w:t>кібербезпеки</w:t>
            </w:r>
            <w:proofErr w:type="spellEnd"/>
            <w:r w:rsidR="003167B9" w:rsidRPr="003167B9">
              <w:rPr>
                <w:rFonts w:ascii="Times New Roman" w:hAnsi="Times New Roman"/>
                <w:sz w:val="24"/>
                <w:szCs w:val="24"/>
              </w:rPr>
              <w:t xml:space="preserve"> України», «Про електронні документи та електронний документообіг» та </w:t>
            </w:r>
            <w:r w:rsidR="00C37ECF">
              <w:rPr>
                <w:rFonts w:ascii="Times New Roman" w:hAnsi="Times New Roman"/>
                <w:sz w:val="24"/>
                <w:szCs w:val="24"/>
              </w:rPr>
              <w:t>інших нормативно правових актів</w:t>
            </w:r>
          </w:p>
        </w:tc>
      </w:tr>
    </w:tbl>
    <w:p w:rsidR="00E54872" w:rsidRPr="00C37ECF" w:rsidRDefault="00E54872" w:rsidP="00E5487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872" w:rsidRPr="00C37ECF" w:rsidRDefault="00E54872" w:rsidP="00E5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9B1" w:rsidRPr="00C37ECF" w:rsidRDefault="00026A14"/>
    <w:sectPr w:rsidR="00DF09B1" w:rsidRPr="00C37ECF" w:rsidSect="00BD13B2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14" w:rsidRDefault="00026A14" w:rsidP="00C37ECF">
      <w:pPr>
        <w:spacing w:after="0" w:line="240" w:lineRule="auto"/>
      </w:pPr>
      <w:r>
        <w:separator/>
      </w:r>
    </w:p>
  </w:endnote>
  <w:endnote w:type="continuationSeparator" w:id="0">
    <w:p w:rsidR="00026A14" w:rsidRDefault="00026A14" w:rsidP="00C3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14" w:rsidRDefault="00026A14" w:rsidP="00C37ECF">
      <w:pPr>
        <w:spacing w:after="0" w:line="240" w:lineRule="auto"/>
      </w:pPr>
      <w:r>
        <w:separator/>
      </w:r>
    </w:p>
  </w:footnote>
  <w:footnote w:type="continuationSeparator" w:id="0">
    <w:p w:rsidR="00026A14" w:rsidRDefault="00026A14" w:rsidP="00C3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717324"/>
      <w:docPartObj>
        <w:docPartGallery w:val="Page Numbers (Top of Page)"/>
        <w:docPartUnique/>
      </w:docPartObj>
    </w:sdtPr>
    <w:sdtEndPr/>
    <w:sdtContent>
      <w:p w:rsidR="00C37ECF" w:rsidRDefault="00C37E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F9" w:rsidRPr="005E77F9">
          <w:rPr>
            <w:noProof/>
            <w:lang w:val="ru-RU"/>
          </w:rPr>
          <w:t>4</w:t>
        </w:r>
        <w:r>
          <w:fldChar w:fldCharType="end"/>
        </w:r>
      </w:p>
    </w:sdtContent>
  </w:sdt>
  <w:p w:rsidR="00C37ECF" w:rsidRDefault="00C37E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D472A12"/>
    <w:multiLevelType w:val="hybridMultilevel"/>
    <w:tmpl w:val="528ACB52"/>
    <w:lvl w:ilvl="0" w:tplc="54E8CC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4"/>
    <w:rsid w:val="00026A14"/>
    <w:rsid w:val="000906E1"/>
    <w:rsid w:val="00095404"/>
    <w:rsid w:val="000A2108"/>
    <w:rsid w:val="00113C4D"/>
    <w:rsid w:val="001C0B0D"/>
    <w:rsid w:val="002F7922"/>
    <w:rsid w:val="003167B9"/>
    <w:rsid w:val="00333EFA"/>
    <w:rsid w:val="003D1ED5"/>
    <w:rsid w:val="004A18E6"/>
    <w:rsid w:val="005E77F9"/>
    <w:rsid w:val="0078246E"/>
    <w:rsid w:val="007E7E71"/>
    <w:rsid w:val="00856BEA"/>
    <w:rsid w:val="009A6BF7"/>
    <w:rsid w:val="00A1495F"/>
    <w:rsid w:val="00A51941"/>
    <w:rsid w:val="00B43612"/>
    <w:rsid w:val="00BC593C"/>
    <w:rsid w:val="00BD13B2"/>
    <w:rsid w:val="00BD4079"/>
    <w:rsid w:val="00C10DB7"/>
    <w:rsid w:val="00C2194D"/>
    <w:rsid w:val="00C37ECF"/>
    <w:rsid w:val="00D1194B"/>
    <w:rsid w:val="00DE7DEC"/>
    <w:rsid w:val="00E416CF"/>
    <w:rsid w:val="00E54872"/>
    <w:rsid w:val="00E84E89"/>
    <w:rsid w:val="00F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902F"/>
  <w15:chartTrackingRefBased/>
  <w15:docId w15:val="{C176E6EA-381F-458C-B802-9C6DEFA0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72"/>
    <w:rPr>
      <w:color w:val="0000FF"/>
      <w:u w:val="single"/>
    </w:rPr>
  </w:style>
  <w:style w:type="paragraph" w:customStyle="1" w:styleId="rvps2">
    <w:name w:val="rvps2"/>
    <w:basedOn w:val="a"/>
    <w:rsid w:val="00E5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E548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54872"/>
  </w:style>
  <w:style w:type="paragraph" w:customStyle="1" w:styleId="a5">
    <w:name w:val="[Немає стилю абзацу]"/>
    <w:uiPriority w:val="99"/>
    <w:rsid w:val="000906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C37EC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ECF"/>
  </w:style>
  <w:style w:type="paragraph" w:styleId="a8">
    <w:name w:val="footer"/>
    <w:basedOn w:val="a"/>
    <w:link w:val="a9"/>
    <w:uiPriority w:val="99"/>
    <w:unhideWhenUsed/>
    <w:rsid w:val="00C37EC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ECF"/>
  </w:style>
  <w:style w:type="paragraph" w:styleId="aa">
    <w:name w:val="Balloon Text"/>
    <w:basedOn w:val="a"/>
    <w:link w:val="ab"/>
    <w:uiPriority w:val="99"/>
    <w:semiHidden/>
    <w:unhideWhenUsed/>
    <w:rsid w:val="00BD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2024-03-27T10:14:00Z</cp:lastPrinted>
  <dcterms:created xsi:type="dcterms:W3CDTF">2024-03-22T10:25:00Z</dcterms:created>
  <dcterms:modified xsi:type="dcterms:W3CDTF">2024-04-01T14:15:00Z</dcterms:modified>
</cp:coreProperties>
</file>